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10D" w:rsidRPr="009B7BF8" w:rsidRDefault="00D2510D" w:rsidP="00D2510D">
      <w:pPr>
        <w:spacing w:line="480" w:lineRule="auto"/>
        <w:rPr>
          <w:rFonts w:ascii="Times New Roman" w:hAnsi="Times New Roman" w:cs="Times New Roman"/>
          <w:color w:val="0070C0"/>
          <w:szCs w:val="21"/>
        </w:rPr>
      </w:pPr>
      <w:r w:rsidRPr="009B7BF8">
        <w:rPr>
          <w:rFonts w:ascii="Times New Roman" w:hAnsi="Times New Roman" w:cs="Times New Roman"/>
          <w:b/>
          <w:color w:val="0070C0"/>
          <w:szCs w:val="21"/>
        </w:rPr>
        <w:t>Supplementary Table 1.</w:t>
      </w:r>
      <w:r w:rsidRPr="009B7BF8">
        <w:rPr>
          <w:rFonts w:ascii="Times New Roman" w:hAnsi="Times New Roman" w:cs="Times New Roman"/>
          <w:color w:val="0070C0"/>
          <w:szCs w:val="21"/>
        </w:rPr>
        <w:t xml:space="preserve"> Relationship of risk factors with live birth by logistic regression analysis.</w:t>
      </w:r>
    </w:p>
    <w:tbl>
      <w:tblPr>
        <w:tblStyle w:val="a7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9"/>
        <w:gridCol w:w="1980"/>
        <w:gridCol w:w="1083"/>
        <w:gridCol w:w="1044"/>
      </w:tblGrid>
      <w:tr w:rsidR="00D2510D" w:rsidRPr="00704ABE" w:rsidTr="00F00CCD">
        <w:trPr>
          <w:trHeight w:val="280"/>
          <w:jc w:val="center"/>
        </w:trPr>
        <w:tc>
          <w:tcPr>
            <w:tcW w:w="4531" w:type="dxa"/>
            <w:tcBorders>
              <w:bottom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Adjusted OR (95% CI)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Wals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E9494B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704ABE"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tcBorders>
              <w:top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Maternal age (years)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0.91 (0.90–0.93)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AB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2510D" w:rsidRPr="00704ABE" w:rsidTr="00F00CCD">
        <w:trPr>
          <w:trHeight w:val="29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Maternal BMI (kg/m</w:t>
            </w:r>
            <w:r w:rsidRPr="00E9494B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(0.95–1.00)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Duration of infertility (years)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0.99 (0.96–1.02)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553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Type of infertility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Primary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Secondary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704ABE">
              <w:rPr>
                <w:rFonts w:ascii="Times New Roman" w:hAnsi="Times New Roman" w:cs="Times New Roman"/>
                <w:szCs w:val="21"/>
              </w:rPr>
              <w:t>–1.2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510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Infertility diagnosis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Tubal 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(1.06–1.8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5.</w:t>
            </w:r>
            <w:r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0.01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Ovulatory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08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  <w:r w:rsidRPr="00704ABE">
              <w:rPr>
                <w:rFonts w:ascii="Times New Roman" w:hAnsi="Times New Roman" w:cs="Times New Roman"/>
                <w:szCs w:val="21"/>
              </w:rPr>
              <w:t>–1.</w:t>
            </w:r>
            <w:r>
              <w:rPr>
                <w:rFonts w:ascii="Times New Roman" w:hAnsi="Times New Roman" w:cs="Times New Roman"/>
                <w:szCs w:val="21"/>
              </w:rPr>
              <w:t>32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.53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466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Endometriosis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(0.7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704ABE">
              <w:rPr>
                <w:rFonts w:ascii="Times New Roman" w:hAnsi="Times New Roman" w:cs="Times New Roman"/>
                <w:szCs w:val="21"/>
              </w:rPr>
              <w:t>–1.3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758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Unexplained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(0.85–1.3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</w:rPr>
              <w:t>42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Combined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0.96 (0.70–1.3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821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Ovarian stimulation protocol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Mild stimulation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GnRH-agonist short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1.39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95</w:t>
            </w:r>
            <w:r w:rsidRPr="00704ABE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2.04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.80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Progestin-primed ovarian stimulation 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99</w:t>
            </w:r>
            <w:r w:rsidRPr="00704ABE">
              <w:rPr>
                <w:rFonts w:ascii="Times New Roman" w:hAnsi="Times New Roman" w:cs="Times New Roman"/>
                <w:szCs w:val="21"/>
              </w:rPr>
              <w:t>–1.</w:t>
            </w:r>
            <w:r>
              <w:rPr>
                <w:rFonts w:ascii="Times New Roman" w:hAnsi="Times New Roman" w:cs="Times New Roman"/>
                <w:szCs w:val="21"/>
              </w:rPr>
              <w:t>98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.63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057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Fertilization method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IVF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ICSI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(0.7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ABE">
              <w:rPr>
                <w:rFonts w:ascii="Times New Roman" w:hAnsi="Times New Roman" w:cs="Times New Roman"/>
                <w:szCs w:val="21"/>
              </w:rPr>
              <w:t>–1.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.99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.319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IVF + ICSI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704ABE">
              <w:rPr>
                <w:rFonts w:ascii="Times New Roman" w:hAnsi="Times New Roman" w:cs="Times New Roman"/>
                <w:szCs w:val="21"/>
              </w:rPr>
              <w:t>–1.4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.66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/>
                <w:szCs w:val="21"/>
              </w:rPr>
              <w:t>98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Endometrial thickness (mm)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1.09 (1.05–1.13)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8.26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Progesterone level on embryo transfer day (ng/mL)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Q1</w:t>
            </w:r>
            <w:r>
              <w:rPr>
                <w:rFonts w:ascii="Times New Roman" w:hAnsi="Times New Roman" w:cs="Times New Roman"/>
                <w:szCs w:val="21"/>
              </w:rPr>
              <w:t xml:space="preserve"> (&lt;7.9)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75</w:t>
            </w:r>
            <w:r w:rsidRPr="00704ABE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>1.04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146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Q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925F02">
              <w:rPr>
                <w:rFonts w:ascii="Times New Roman" w:hAnsi="Times New Roman" w:cs="Times New Roman"/>
                <w:szCs w:val="21"/>
              </w:rPr>
              <w:t>–</w:t>
            </w:r>
            <w:r>
              <w:rPr>
                <w:rFonts w:ascii="Times New Roman" w:hAnsi="Times New Roman" w:cs="Times New Roman"/>
                <w:szCs w:val="21"/>
              </w:rPr>
              <w:t xml:space="preserve">Q4 </w:t>
            </w:r>
            <w:r w:rsidRPr="00925F02">
              <w:rPr>
                <w:rFonts w:ascii="Times New Roman" w:hAnsi="Times New Roman" w:cs="Times New Roman"/>
                <w:szCs w:val="21"/>
              </w:rPr>
              <w:t>(≥</w:t>
            </w:r>
            <w:r>
              <w:rPr>
                <w:rFonts w:ascii="Times New Roman" w:hAnsi="Times New Roman" w:cs="Times New Roman"/>
                <w:szCs w:val="21"/>
              </w:rPr>
              <w:t>7.9</w:t>
            </w:r>
            <w:r w:rsidRPr="00925F0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No. of embryos transferred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Single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Double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1.9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(1.6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704ABE">
              <w:rPr>
                <w:rFonts w:ascii="Times New Roman" w:hAnsi="Times New Roman" w:cs="Times New Roman"/>
                <w:szCs w:val="21"/>
              </w:rPr>
              <w:t>–2.3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704AB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Embryo stage at transfer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Cleavage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 xml:space="preserve"> Blastocyst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(1.19–1.86)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2.07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D2510D" w:rsidRPr="00704ABE" w:rsidTr="00F00CCD">
        <w:trPr>
          <w:trHeight w:val="280"/>
          <w:jc w:val="center"/>
        </w:trPr>
        <w:tc>
          <w:tcPr>
            <w:tcW w:w="4531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Duration of embryo cryopreservation (years)</w:t>
            </w:r>
          </w:p>
        </w:tc>
        <w:tc>
          <w:tcPr>
            <w:tcW w:w="2127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704ABE">
              <w:rPr>
                <w:rFonts w:ascii="Times New Roman" w:hAnsi="Times New Roman" w:cs="Times New Roman"/>
                <w:szCs w:val="21"/>
              </w:rPr>
              <w:t xml:space="preserve"> (0.7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704ABE">
              <w:rPr>
                <w:rFonts w:ascii="Times New Roman" w:hAnsi="Times New Roman" w:cs="Times New Roman"/>
                <w:szCs w:val="21"/>
              </w:rPr>
              <w:t>–1.0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704AB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55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2.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1113" w:type="dxa"/>
            <w:noWrap/>
            <w:hideMark/>
          </w:tcPr>
          <w:p w:rsidR="00D2510D" w:rsidRPr="00704ABE" w:rsidRDefault="00D2510D" w:rsidP="00F00CCD">
            <w:pPr>
              <w:rPr>
                <w:rFonts w:ascii="Times New Roman" w:hAnsi="Times New Roman" w:cs="Times New Roman"/>
                <w:szCs w:val="21"/>
              </w:rPr>
            </w:pPr>
            <w:r w:rsidRPr="00704ABE">
              <w:rPr>
                <w:rFonts w:ascii="Times New Roman" w:hAnsi="Times New Roman" w:cs="Times New Roman"/>
                <w:szCs w:val="21"/>
              </w:rPr>
              <w:t>0.1</w:t>
            </w: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</w:tbl>
    <w:p w:rsidR="00D2510D" w:rsidRDefault="00D2510D" w:rsidP="00D2510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Abbreviations:</w:t>
      </w:r>
      <w:r w:rsidRPr="007977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OR = odds ration; CI = confidence interval; </w:t>
      </w:r>
      <w:r w:rsidRPr="00065B78">
        <w:rPr>
          <w:rFonts w:ascii="Times New Roman" w:hAnsi="Times New Roman" w:cs="Times New Roman"/>
          <w:szCs w:val="21"/>
        </w:rPr>
        <w:t xml:space="preserve">BMI = body mass index; </w:t>
      </w:r>
      <w:r>
        <w:rPr>
          <w:rFonts w:ascii="Times New Roman" w:hAnsi="Times New Roman" w:cs="Times New Roman"/>
          <w:szCs w:val="21"/>
        </w:rPr>
        <w:t xml:space="preserve">GnRH = </w:t>
      </w:r>
      <w:r w:rsidRPr="00887645">
        <w:rPr>
          <w:rFonts w:ascii="Times New Roman" w:hAnsi="Times New Roman" w:cs="Times New Roman"/>
          <w:szCs w:val="21"/>
        </w:rPr>
        <w:t>gonadotropin-releasing hormone</w:t>
      </w:r>
      <w:r>
        <w:rPr>
          <w:rFonts w:ascii="Times New Roman" w:hAnsi="Times New Roman" w:cs="Times New Roman"/>
          <w:szCs w:val="21"/>
        </w:rPr>
        <w:t xml:space="preserve">; </w:t>
      </w:r>
      <w:r w:rsidRPr="00065B78">
        <w:rPr>
          <w:rFonts w:ascii="Times New Roman" w:hAnsi="Times New Roman" w:cs="Times New Roman"/>
          <w:szCs w:val="21"/>
        </w:rPr>
        <w:t>IVF = in vitro fertilization; ICSI = intracytoplasmic sperm injection</w:t>
      </w:r>
      <w:r>
        <w:rPr>
          <w:rFonts w:ascii="Times New Roman" w:hAnsi="Times New Roman" w:cs="Times New Roman"/>
          <w:szCs w:val="21"/>
        </w:rPr>
        <w:t>.</w:t>
      </w:r>
    </w:p>
    <w:p w:rsidR="00D2510D" w:rsidRPr="00925F02" w:rsidRDefault="00D2510D" w:rsidP="00D2510D">
      <w:pPr>
        <w:spacing w:line="480" w:lineRule="auto"/>
        <w:rPr>
          <w:rFonts w:ascii="Times New Roman" w:hAnsi="Times New Roman" w:cs="Times New Roman"/>
          <w:szCs w:val="21"/>
        </w:rPr>
      </w:pPr>
    </w:p>
    <w:p w:rsidR="007F3A08" w:rsidRPr="00D2510D" w:rsidRDefault="007F3A08">
      <w:bookmarkStart w:id="0" w:name="_GoBack"/>
      <w:bookmarkEnd w:id="0"/>
    </w:p>
    <w:sectPr w:rsidR="007F3A08" w:rsidRPr="00D25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60D" w:rsidRDefault="00F1260D" w:rsidP="00D2510D">
      <w:r>
        <w:separator/>
      </w:r>
    </w:p>
  </w:endnote>
  <w:endnote w:type="continuationSeparator" w:id="0">
    <w:p w:rsidR="00F1260D" w:rsidRDefault="00F1260D" w:rsidP="00D25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60D" w:rsidRDefault="00F1260D" w:rsidP="00D2510D">
      <w:r>
        <w:separator/>
      </w:r>
    </w:p>
  </w:footnote>
  <w:footnote w:type="continuationSeparator" w:id="0">
    <w:p w:rsidR="00F1260D" w:rsidRDefault="00F1260D" w:rsidP="00D25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1B0"/>
    <w:rsid w:val="007F3A08"/>
    <w:rsid w:val="00D2510D"/>
    <w:rsid w:val="00F1260D"/>
    <w:rsid w:val="00F1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C6F8E7-76B1-49BB-AD22-6980150E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1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1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10D"/>
    <w:rPr>
      <w:sz w:val="18"/>
      <w:szCs w:val="18"/>
    </w:rPr>
  </w:style>
  <w:style w:type="table" w:styleId="a7">
    <w:name w:val="Table Grid"/>
    <w:basedOn w:val="a1"/>
    <w:uiPriority w:val="39"/>
    <w:rsid w:val="00D25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2</cp:revision>
  <dcterms:created xsi:type="dcterms:W3CDTF">2019-07-24T08:57:00Z</dcterms:created>
  <dcterms:modified xsi:type="dcterms:W3CDTF">2019-07-24T08:58:00Z</dcterms:modified>
</cp:coreProperties>
</file>